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Style14"/>
          <w:rFonts w:cs="Times New Roman" w:ascii="Times New Roman" w:hAnsi="Times New Roman"/>
          <w:b/>
          <w:bCs/>
          <w:sz w:val="28"/>
          <w:szCs w:val="28"/>
          <w:lang w:val="ru-RU"/>
        </w:rPr>
        <w:t>ДОКЛАД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Управления по охране объектов культурного наследия Службы лицензирования и надзору отдельных видов деятельности Республики Тыва по итогам обобщения правоприменительной практики государственного контроля (надзора)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в области охраны объектов культурного наследия за 2022 год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firstLine="73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Настоящий доклад обобщения правоприменительной практики государственного контроля (надзора) в области охраны объектов культурного наследия за 2022 год подготовлен </w:t>
      </w: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Управлением по охране объектов культурного наследия Службы лицензирования и надзору отдельных видов деятельности Республики Тыва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(далее - Служба) в соответствии со статьей 47 Федеральный закон от 31.07.2020 № 248-ФЗ «О государственном контроле (надзоре) и муниципальном контроле в Российской Федерации» (далее - Закон № 248-ФЗ), пункта 16 Положения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утвержденного  постановлением Правительства РФ от 30.06.2021 № 1093, Программой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 культурного наследия на территории Республики Тыва на 2022 - 2024 годов, утвержденным приказом Службы от 30.11.2021 г. № 497.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Служба осуществляет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(далее также - государственный надзор):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 в отношении объектов культурного наследия федерального значения, за исключением отдельных объектов культурного наследия, перечень которых устанавливается Правительством Российской Федерации (федеральный государственный надзор);</w:t>
      </w:r>
    </w:p>
    <w:p>
      <w:pPr>
        <w:pStyle w:val="Normal"/>
        <w:ind w:firstLine="73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- в отношении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(региональный государственный надзор).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Обобщение практики проводилось по результатам осуществления: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(за исключением отдельных объектов культурного наследия, перечень которых устанавливается Правительством Российской Федерации);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наследия.</w:t>
      </w:r>
    </w:p>
    <w:p>
      <w:pPr>
        <w:pStyle w:val="Normal"/>
        <w:ind w:firstLine="73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Деятельность Службы в рамках государственного надзора направлена на предупреждение, выявление и пресечение нарушений обязательных требований, посредством организации и проведения контрольных (надзорных) мероприятий и проведения мероприятий по профилактике нарушений обязательных требований.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Сведения о правоприменительной практике в отчетном году</w:t>
      </w:r>
    </w:p>
    <w:p>
      <w:pPr>
        <w:pStyle w:val="Normal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ind w:firstLine="73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На день проведения публичного обсуждения обобщения правоприменительной практики государственного контроля (надзора) в области охраны объектов культурного наследия за 2022 год Службой реализованы следующие мероприятия по государственному надзору:</w:t>
      </w:r>
    </w:p>
    <w:p>
      <w:pPr>
        <w:pStyle w:val="BodyText"/>
        <w:spacing w:lineRule="auto" w:line="240" w:before="0" w:after="0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1. Проведено 125 внеплановых выездных проверок, выявлено  </w:t>
      </w: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6 нарушений, составлен 1 протокол, лицо привлечено к административной ответственности, 1 внеплановая выездная проверка завершена в порядке,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предусмотренном Постановлением Правительства Российской Федерации                               от 10.03.2022 № 336 «Об особенностях организации и осуществления государственного контроля (надзора), муниципального контроля» (далее - постановление № 336). В связи с вступлением в законную силу ограничений, введенных постановлением № 336, по результатам внеплановых выездных проверок составлено 5 предостережений.</w:t>
      </w:r>
    </w:p>
    <w:p>
      <w:pPr>
        <w:pStyle w:val="BodyText"/>
        <w:spacing w:lineRule="auto" w:line="240" w:before="0" w:after="0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2. Проведены 4 документарные проверки, выявлено 2 нарушения, выдано 2 предписания, 2 документарные проверки завершены в порядке, предусмотренном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>
      <w:pPr>
        <w:pStyle w:val="BodyText"/>
        <w:spacing w:lineRule="auto" w:line="240" w:before="0" w:after="0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3. Осуществлено 53 контрольных (надзорных) мероприятий без взаимодействия, из которых 33 - наблюдение за соблюдением обязательных требований и 20 - выездное обследование.</w:t>
      </w:r>
    </w:p>
    <w:p>
      <w:pPr>
        <w:pStyle w:val="BodyText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BodyText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общей сложности по итогам 2022 года составлено 5 протоколов:                          2 протокола по выявленным в 2021 году нарушениям, 1 - по результатам внеплановой выездной проверки.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Фактов обжалования, связанных с нарушением должностными лицами Комитета процессуальных норм при производстве по делу                                           об административном правонарушении, не имеется.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В ходе проведения контрольной (надзорной) деятельности Комитетом                               в адрес органов внутренних дел направлены 2 сообщения по факту незаконного проведения раскопок в городе Тобольске и Тюменском муниципальном районе. Информация о возбуждении уголовных дел отсутствует.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 наиболее часто встречающимся правонарушениям в сфере сохранения, использования, популяризации и государственной охраны объектов культурного наследия относятся: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- нарушения порядка проведения работ по сохранению объектов культурного наследия (статья 45 Федерального закона от 25.06.2002 № 73-ФЗ «Об объектах культурного наследия (памятниках истории и культуры) народов Российской Федерации» (далее - Закона № 73-ФЗ));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 нарушения требований к содержанию и использованию объектов культурного наследия (подпункт 1 пункта 1 статьи 47.3 Закона № 73-ФЗ);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 нарушения требований по обеспечению сохранности объектов культурного наследия (статья 36 Закона № 73-ФЗ).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Также зафиксировано нарушение обязательных требований                                    к осуществлению деятельности в границах территорий зон охраны объекта культурного наследия.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Среди причин нарушений обязательных требований, связанных                              с нарушением порядка проведения работ по сохранению объектов культурного наследия, основными являются: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 не систематическое осуществление авторского и (или) технического надзора.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Причиной нарушения периодичности осуществления авторского и (или) технического надзоров может служить малочисленность специализированных организаций, осуществляющих соответствующие виды надзоров,                              при значительном количестве объектов выполнения работ.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- значительные финансовые затраты на принятие мер по сохранению объектов культурного наследия.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Так, например, для проведения работ по сохранению объекта культурного наследия согласно статье 45 Закона № 73-ФЗ требуется наличие согласованной проектной документации, которая разрабатывается специализированными организациями и является дорогостоящей работой. Кроме того, для проведения производственных работ необходимо привлечение лицензированной организации, услуги которой также являются дорогостоящими.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Проведение мероприятий по профилактике нарушений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обязательных требований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В соответствии с пунктом 1 статьи 8 Закона № 248-ФЗ приоритетным по отношению к проведению контрольных (надзорных) мероприятий является проведение контрольными (надзорными) органами профилактических мероприятий.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Приказом Комитета от 22.12.2022 № 57-о утверждено в новой редакции Руководство по соблюдению обязательных требований в сфере сохранения, использования, популяризации и государственной охраны объектов культурного наследия (далее - Руководство), приказ размещен                                       в информационно-телекоммуникационной сети «Интернет»).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На официальном сайте Комитета в информационно-телекоммуникационной сети «Интернет» размещены Методические рекомендации по противодействию несанкционированным археологическим полевым работам на территории Тюменской области, Анкета соблюдения условий доступности для инвалидов объекта культурного наследия и информационные памятки по контрольным (надзорным) мероприятиям, разработанные совместно с Уполномоченным по защите прав предпринимателей в Тюменской области.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Приказом Комитета от 20.12.2022 № 53-о утверждена Программа профилактики рисков причинения вреда (ущерба) охраняемым законом ценностями при осуществлении государственного контроля (надзора) за состоянием, содержанием, сохранением, использованием, популяризацией и государственной охране объектов культурного наследия на территории Тюменской области, профилактической деятельности на 2023 год (приказ размещен в информационно-телекоммуникационной сети «Интернет»).</w:t>
      </w:r>
    </w:p>
    <w:p>
      <w:pPr>
        <w:pStyle w:val="Normal"/>
        <w:ind w:firstLine="567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  <w:lang w:val="ru-RU"/>
        </w:rPr>
        <w:t>В адрес лиц, в отношении которых осуществляется государственный надзор направлено 37 предостережений о недопустимости нарушения обязательных требован</w:t>
      </w:r>
      <w:r>
        <w:rPr>
          <w:rStyle w:val="Style14"/>
          <w:rFonts w:ascii="ArialMT" w:hAnsi="ArialMT"/>
          <w:color w:val="000000"/>
          <w:sz w:val="26"/>
          <w:lang w:val="ru-RU"/>
        </w:rPr>
        <w:t>ий.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M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character" w:styleId="Style14">
    <w:name w:val="Основной шрифт абзаца"/>
    <w:qFormat/>
    <w:rPr/>
  </w:style>
  <w:style w:type="paragraph" w:styleId="Style15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6">
    <w:name w:val="Список"/>
    <w:basedOn w:val="BodyText"/>
    <w:qFormat/>
    <w:pPr>
      <w:suppressAutoHyphens w:val="true"/>
    </w:pPr>
    <w:rPr/>
  </w:style>
  <w:style w:type="paragraph" w:styleId="Style1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201</TotalTime>
  <Application>LibreOffice/25.2.1.2$Linux_X86_64 LibreOffice_project/520$Build-2</Application>
  <AppVersion>15.0000</AppVersion>
  <Pages>4</Pages>
  <Words>950</Words>
  <Characters>7546</Characters>
  <CharactersWithSpaces>8722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2023-03-14T09:48:00Z</dcterms:created>
  <dc:creator>ОKN</dc:creator>
  <dc:description/>
  <dc:language>en-US</dc:language>
  <cp:lastModifiedBy>Чодураа Хертек</cp:lastModifiedBy>
  <dcterms:modified xsi:type="dcterms:W3CDTF">2023-03-14T14:27:00Z</dcterms:modified>
  <cp:revision>6</cp:revision>
  <dc:subject/>
  <dc:title/>
</cp:coreProperties>
</file>